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5B86" w14:textId="77777777" w:rsidR="002E674F" w:rsidRPr="00491F79" w:rsidRDefault="002E674F" w:rsidP="002E674F">
      <w:pPr>
        <w:pStyle w:val="Default"/>
        <w:jc w:val="both"/>
        <w:rPr>
          <w:rFonts w:ascii="Palatino Linotype" w:hAnsi="Palatino Linotype"/>
          <w:b/>
          <w:bCs/>
          <w:sz w:val="22"/>
        </w:rPr>
      </w:pPr>
    </w:p>
    <w:p w14:paraId="6A7B1BA4" w14:textId="77777777" w:rsidR="002E674F" w:rsidRPr="00491F79" w:rsidRDefault="002E674F" w:rsidP="002E674F">
      <w:pPr>
        <w:pStyle w:val="Default"/>
        <w:jc w:val="both"/>
        <w:rPr>
          <w:rFonts w:ascii="Palatino Linotype" w:hAnsi="Palatino Linotype"/>
          <w:b/>
          <w:bCs/>
          <w:sz w:val="22"/>
        </w:rPr>
      </w:pPr>
    </w:p>
    <w:p w14:paraId="3312B0FB" w14:textId="3BDDDE12" w:rsidR="00EA03CF" w:rsidRPr="00491F79" w:rsidRDefault="00A34E4D" w:rsidP="00A34E4D">
      <w:pPr>
        <w:ind w:left="708" w:hanging="708"/>
        <w:jc w:val="center"/>
        <w:rPr>
          <w:rFonts w:ascii="Palatino Linotype" w:eastAsia="Times New Roman" w:hAnsi="Palatino Linotype" w:cs="Arial"/>
          <w:b/>
          <w:bCs/>
          <w:color w:val="000000"/>
          <w:sz w:val="22"/>
          <w:lang w:eastAsia="it-IT"/>
        </w:rPr>
      </w:pPr>
      <w:r w:rsidRPr="00491F79">
        <w:rPr>
          <w:rFonts w:ascii="Palatino Linotype" w:eastAsia="Times New Roman" w:hAnsi="Palatino Linotype" w:cs="Arial"/>
          <w:b/>
          <w:bCs/>
          <w:color w:val="000000"/>
          <w:sz w:val="22"/>
          <w:lang w:eastAsia="it-IT"/>
        </w:rPr>
        <w:t>University of Foggia-School of Law in collaboration with</w:t>
      </w:r>
      <w:r w:rsidR="00FB34B9" w:rsidRPr="00491F79">
        <w:rPr>
          <w:rFonts w:ascii="Palatino Linotype" w:eastAsia="Times New Roman" w:hAnsi="Palatino Linotype" w:cs="Arial"/>
          <w:b/>
          <w:bCs/>
          <w:color w:val="000000"/>
          <w:sz w:val="22"/>
          <w:lang w:eastAsia="it-IT"/>
        </w:rPr>
        <w:t>:</w:t>
      </w:r>
    </w:p>
    <w:p w14:paraId="499D1D19" w14:textId="77777777" w:rsidR="002A27DE" w:rsidRPr="00491F79" w:rsidRDefault="002A27DE" w:rsidP="00A34E4D">
      <w:pPr>
        <w:ind w:left="708" w:hanging="708"/>
        <w:jc w:val="center"/>
        <w:rPr>
          <w:rFonts w:ascii="Palatino Linotype" w:eastAsia="Times New Roman" w:hAnsi="Palatino Linotype" w:cs="Arial"/>
          <w:b/>
          <w:bCs/>
          <w:color w:val="000000"/>
          <w:sz w:val="22"/>
          <w:lang w:eastAsia="it-IT"/>
        </w:rPr>
      </w:pPr>
    </w:p>
    <w:p w14:paraId="17FE5554" w14:textId="77777777" w:rsidR="002064C1" w:rsidRPr="00491F79" w:rsidRDefault="00017F90" w:rsidP="00EA03CF">
      <w:pPr>
        <w:ind w:left="708" w:hanging="708"/>
        <w:jc w:val="center"/>
        <w:rPr>
          <w:rFonts w:ascii="Palatino Linotype" w:eastAsia="Times New Roman" w:hAnsi="Palatino Linotype" w:cs="Arial"/>
          <w:b/>
          <w:bCs/>
          <w:color w:val="000000"/>
          <w:sz w:val="22"/>
          <w:lang w:eastAsia="it-IT"/>
        </w:rPr>
      </w:pPr>
      <w:r w:rsidRPr="00491F79">
        <w:rPr>
          <w:rFonts w:ascii="Palatino Linotype" w:eastAsia="Times New Roman" w:hAnsi="Palatino Linotype" w:cs="Arial"/>
          <w:b/>
          <w:bCs/>
          <w:color w:val="000000"/>
          <w:sz w:val="22"/>
          <w:lang w:eastAsia="it-IT"/>
        </w:rPr>
        <w:t>OSCE</w:t>
      </w:r>
      <w:r w:rsidR="002064C1" w:rsidRPr="00491F79">
        <w:rPr>
          <w:rFonts w:ascii="Palatino Linotype" w:eastAsia="Times New Roman" w:hAnsi="Palatino Linotype" w:cs="Arial"/>
          <w:b/>
          <w:bCs/>
          <w:color w:val="000000"/>
          <w:sz w:val="22"/>
          <w:lang w:eastAsia="it-IT"/>
        </w:rPr>
        <w:t>/ODIHR</w:t>
      </w:r>
    </w:p>
    <w:p w14:paraId="3DF97250" w14:textId="131C448C" w:rsidR="00FB34B9" w:rsidRPr="00491F79" w:rsidRDefault="00017F90" w:rsidP="00EA03CF">
      <w:pPr>
        <w:ind w:left="708" w:hanging="708"/>
        <w:jc w:val="center"/>
        <w:rPr>
          <w:rFonts w:ascii="Palatino Linotype" w:eastAsia="Times New Roman" w:hAnsi="Palatino Linotype" w:cs="Arial"/>
          <w:b/>
          <w:bCs/>
          <w:color w:val="000000"/>
          <w:sz w:val="22"/>
          <w:lang w:eastAsia="it-IT"/>
        </w:rPr>
      </w:pPr>
      <w:r w:rsidRPr="00491F79">
        <w:rPr>
          <w:rFonts w:ascii="Palatino Linotype" w:eastAsia="Times New Roman" w:hAnsi="Palatino Linotype" w:cs="Arial"/>
          <w:b/>
          <w:bCs/>
          <w:color w:val="000000"/>
          <w:sz w:val="22"/>
          <w:lang w:eastAsia="it-IT"/>
        </w:rPr>
        <w:t>Organiz</w:t>
      </w:r>
      <w:r w:rsidR="004400A1" w:rsidRPr="00491F79">
        <w:rPr>
          <w:rFonts w:ascii="Palatino Linotype" w:eastAsia="Times New Roman" w:hAnsi="Palatino Linotype" w:cs="Arial"/>
          <w:b/>
          <w:bCs/>
          <w:color w:val="000000"/>
          <w:sz w:val="22"/>
          <w:lang w:eastAsia="it-IT"/>
        </w:rPr>
        <w:t>ation for Security and Co-operation in Europe</w:t>
      </w:r>
      <w:r w:rsidR="002064C1" w:rsidRPr="00491F79">
        <w:rPr>
          <w:rFonts w:ascii="Palatino Linotype" w:eastAsia="Times New Roman" w:hAnsi="Palatino Linotype" w:cs="Arial"/>
          <w:b/>
          <w:bCs/>
          <w:color w:val="000000"/>
          <w:sz w:val="22"/>
          <w:lang w:eastAsia="it-IT"/>
        </w:rPr>
        <w:t>/</w:t>
      </w:r>
    </w:p>
    <w:p w14:paraId="4035961C" w14:textId="77777777" w:rsidR="002064C1" w:rsidRPr="00491F79" w:rsidRDefault="004400A1" w:rsidP="00E43320">
      <w:pPr>
        <w:ind w:left="708" w:hanging="708"/>
        <w:jc w:val="center"/>
        <w:rPr>
          <w:rFonts w:ascii="Palatino Linotype" w:eastAsia="Times New Roman" w:hAnsi="Palatino Linotype" w:cs="Arial"/>
          <w:b/>
          <w:bCs/>
          <w:color w:val="000000"/>
          <w:sz w:val="22"/>
          <w:lang w:eastAsia="it-IT"/>
        </w:rPr>
      </w:pPr>
      <w:r w:rsidRPr="00491F79">
        <w:rPr>
          <w:rFonts w:ascii="Palatino Linotype" w:eastAsia="Times New Roman" w:hAnsi="Palatino Linotype" w:cs="Arial"/>
          <w:b/>
          <w:bCs/>
          <w:color w:val="000000"/>
          <w:sz w:val="22"/>
          <w:lang w:eastAsia="it-IT"/>
        </w:rPr>
        <w:t>Office for Democratic Institution and Human Rights</w:t>
      </w:r>
      <w:r w:rsidR="00A34E4D" w:rsidRPr="00491F79">
        <w:rPr>
          <w:rFonts w:ascii="Palatino Linotype" w:eastAsia="Times New Roman" w:hAnsi="Palatino Linotype" w:cs="Arial"/>
          <w:b/>
          <w:bCs/>
          <w:color w:val="000000"/>
          <w:sz w:val="22"/>
          <w:lang w:eastAsia="it-IT"/>
        </w:rPr>
        <w:t xml:space="preserve"> </w:t>
      </w:r>
    </w:p>
    <w:p w14:paraId="04D7BA8D" w14:textId="1B515DBC" w:rsidR="00FB34B9" w:rsidRPr="00491F79" w:rsidRDefault="00A34E4D" w:rsidP="00E43320">
      <w:pPr>
        <w:ind w:left="708" w:hanging="708"/>
        <w:jc w:val="center"/>
        <w:rPr>
          <w:rFonts w:ascii="Palatino Linotype" w:eastAsia="Times New Roman" w:hAnsi="Palatino Linotype" w:cs="Arial"/>
          <w:b/>
          <w:bCs/>
          <w:color w:val="000000"/>
          <w:sz w:val="22"/>
          <w:lang w:eastAsia="it-IT"/>
        </w:rPr>
      </w:pPr>
      <w:r w:rsidRPr="00491F79">
        <w:rPr>
          <w:rFonts w:ascii="Palatino Linotype" w:eastAsia="Times New Roman" w:hAnsi="Palatino Linotype" w:cs="Arial"/>
          <w:b/>
          <w:bCs/>
          <w:color w:val="000000"/>
          <w:sz w:val="22"/>
          <w:lang w:eastAsia="it-IT"/>
        </w:rPr>
        <w:t xml:space="preserve">and </w:t>
      </w:r>
      <w:r w:rsidR="00D0632D" w:rsidRPr="00491F79">
        <w:rPr>
          <w:rFonts w:ascii="Palatino Linotype" w:eastAsia="Times New Roman" w:hAnsi="Palatino Linotype" w:cs="Arial"/>
          <w:b/>
          <w:bCs/>
          <w:color w:val="000000"/>
          <w:sz w:val="22"/>
          <w:lang w:eastAsia="it-IT"/>
        </w:rPr>
        <w:t>ICLARS</w:t>
      </w:r>
    </w:p>
    <w:p w14:paraId="2971DB6C" w14:textId="5ED5E44C" w:rsidR="00017F90" w:rsidRPr="00491F79" w:rsidRDefault="00A34E4D" w:rsidP="00A34E4D">
      <w:pPr>
        <w:ind w:left="708" w:hanging="708"/>
        <w:jc w:val="center"/>
        <w:rPr>
          <w:rFonts w:ascii="Palatino Linotype" w:eastAsia="Times New Roman" w:hAnsi="Palatino Linotype" w:cs="Arial"/>
          <w:b/>
          <w:bCs/>
          <w:color w:val="000000"/>
          <w:sz w:val="22"/>
          <w:lang w:eastAsia="it-IT"/>
        </w:rPr>
      </w:pPr>
      <w:r w:rsidRPr="00491F79">
        <w:rPr>
          <w:rFonts w:ascii="Palatino Linotype" w:eastAsia="Times New Roman" w:hAnsi="Palatino Linotype" w:cs="Arial"/>
          <w:b/>
          <w:bCs/>
          <w:color w:val="000000"/>
          <w:sz w:val="22"/>
          <w:lang w:eastAsia="it-IT"/>
        </w:rPr>
        <w:t>International Consortium for Law and Religious Studies</w:t>
      </w:r>
    </w:p>
    <w:p w14:paraId="0FFB8E7C" w14:textId="6A3BD45F" w:rsidR="00017F90" w:rsidRPr="00491F79" w:rsidRDefault="00017F90" w:rsidP="00017F90">
      <w:pPr>
        <w:jc w:val="center"/>
        <w:rPr>
          <w:rFonts w:ascii="Palatino Linotype" w:eastAsia="Times New Roman" w:hAnsi="Palatino Linotype" w:cs="Arial"/>
          <w:b/>
          <w:color w:val="000000"/>
          <w:sz w:val="22"/>
          <w:lang w:eastAsia="it-IT"/>
        </w:rPr>
      </w:pPr>
    </w:p>
    <w:p w14:paraId="144F1F13" w14:textId="77777777" w:rsidR="00A34E4D" w:rsidRPr="00491F79" w:rsidRDefault="00A34E4D" w:rsidP="00017F90">
      <w:pPr>
        <w:jc w:val="center"/>
        <w:rPr>
          <w:rFonts w:ascii="Palatino Linotype" w:eastAsia="Times New Roman" w:hAnsi="Palatino Linotype" w:cs="Arial"/>
          <w:b/>
          <w:color w:val="000000"/>
          <w:sz w:val="22"/>
          <w:lang w:eastAsia="it-IT"/>
        </w:rPr>
      </w:pPr>
    </w:p>
    <w:p w14:paraId="4095F321" w14:textId="77777777" w:rsidR="00017F90" w:rsidRPr="00491F79" w:rsidRDefault="00017F90" w:rsidP="00017F90">
      <w:pPr>
        <w:jc w:val="center"/>
        <w:rPr>
          <w:rFonts w:ascii="Palatino Linotype" w:eastAsia="Times New Roman" w:hAnsi="Palatino Linotype" w:cs="Arial"/>
          <w:b/>
          <w:color w:val="000000"/>
          <w:sz w:val="22"/>
          <w:lang w:eastAsia="it-IT"/>
        </w:rPr>
      </w:pPr>
      <w:r w:rsidRPr="00491F79">
        <w:rPr>
          <w:rFonts w:ascii="Palatino Linotype" w:eastAsia="Times New Roman" w:hAnsi="Palatino Linotype" w:cs="Arial"/>
          <w:b/>
          <w:color w:val="000000"/>
          <w:sz w:val="22"/>
          <w:lang w:eastAsia="it-IT"/>
        </w:rPr>
        <w:t xml:space="preserve">Consultation of the Draft Toolkit on </w:t>
      </w:r>
      <w:proofErr w:type="spellStart"/>
      <w:r w:rsidRPr="00491F79">
        <w:rPr>
          <w:rFonts w:ascii="Palatino Linotype" w:eastAsia="Times New Roman" w:hAnsi="Palatino Linotype" w:cs="Arial"/>
          <w:b/>
          <w:color w:val="000000"/>
          <w:sz w:val="22"/>
          <w:lang w:eastAsia="it-IT"/>
        </w:rPr>
        <w:t>FoRB</w:t>
      </w:r>
      <w:proofErr w:type="spellEnd"/>
    </w:p>
    <w:p w14:paraId="539D08C9" w14:textId="77777777" w:rsidR="00017F90" w:rsidRPr="00491F79" w:rsidRDefault="00017F90" w:rsidP="00017F90">
      <w:pPr>
        <w:jc w:val="center"/>
        <w:rPr>
          <w:rFonts w:ascii="Palatino Linotype" w:eastAsia="Times New Roman" w:hAnsi="Palatino Linotype" w:cs="Arial"/>
          <w:b/>
          <w:color w:val="000000"/>
          <w:sz w:val="22"/>
          <w:lang w:eastAsia="it-IT"/>
        </w:rPr>
      </w:pPr>
      <w:r w:rsidRPr="00491F79">
        <w:rPr>
          <w:rFonts w:ascii="Palatino Linotype" w:eastAsia="Times New Roman" w:hAnsi="Palatino Linotype" w:cs="Arial"/>
          <w:b/>
          <w:color w:val="000000"/>
          <w:sz w:val="22"/>
          <w:lang w:eastAsia="it-IT"/>
        </w:rPr>
        <w:t>and Interreligious and Interfaith Dialogue and Partnership (IIDP)</w:t>
      </w:r>
    </w:p>
    <w:p w14:paraId="4A66F204" w14:textId="77777777" w:rsidR="00017F90" w:rsidRPr="00491F79" w:rsidRDefault="00017F90" w:rsidP="00017F90">
      <w:pPr>
        <w:jc w:val="center"/>
        <w:rPr>
          <w:rFonts w:ascii="Palatino Linotype" w:eastAsia="Times New Roman" w:hAnsi="Palatino Linotype" w:cs="Arial"/>
          <w:b/>
          <w:color w:val="000000"/>
          <w:sz w:val="22"/>
          <w:lang w:eastAsia="it-IT"/>
        </w:rPr>
      </w:pPr>
    </w:p>
    <w:p w14:paraId="6A5F6BFA" w14:textId="77777777" w:rsidR="00017F90" w:rsidRPr="00491F79" w:rsidRDefault="00017F90" w:rsidP="00017F90">
      <w:pPr>
        <w:jc w:val="center"/>
        <w:rPr>
          <w:rFonts w:ascii="Palatino Linotype" w:eastAsia="Times New Roman" w:hAnsi="Palatino Linotype" w:cs="Arial"/>
          <w:b/>
          <w:color w:val="000000"/>
          <w:sz w:val="22"/>
          <w:lang w:val="it-IT" w:eastAsia="it-IT"/>
        </w:rPr>
      </w:pPr>
      <w:r w:rsidRPr="00491F79">
        <w:rPr>
          <w:rFonts w:ascii="Palatino Linotype" w:eastAsia="Times New Roman" w:hAnsi="Palatino Linotype" w:cs="Arial"/>
          <w:b/>
          <w:color w:val="000000"/>
          <w:sz w:val="22"/>
          <w:lang w:val="it-IT" w:eastAsia="it-IT"/>
        </w:rPr>
        <w:t xml:space="preserve">Università di Foggia, </w:t>
      </w:r>
      <w:proofErr w:type="spellStart"/>
      <w:r w:rsidRPr="00491F79">
        <w:rPr>
          <w:rFonts w:ascii="Palatino Linotype" w:eastAsia="Times New Roman" w:hAnsi="Palatino Linotype" w:cs="Arial"/>
          <w:b/>
          <w:color w:val="000000"/>
          <w:sz w:val="22"/>
          <w:lang w:val="it-IT" w:eastAsia="it-IT"/>
        </w:rPr>
        <w:t>Italy</w:t>
      </w:r>
      <w:proofErr w:type="spellEnd"/>
    </w:p>
    <w:p w14:paraId="69BE3E91" w14:textId="77777777" w:rsidR="00017F90" w:rsidRPr="00491F79" w:rsidRDefault="00017F90" w:rsidP="00017F90">
      <w:pPr>
        <w:jc w:val="center"/>
        <w:rPr>
          <w:rFonts w:ascii="Palatino Linotype" w:eastAsia="Times New Roman" w:hAnsi="Palatino Linotype" w:cs="Arial"/>
          <w:b/>
          <w:color w:val="000000"/>
          <w:sz w:val="22"/>
          <w:lang w:val="it-IT" w:eastAsia="it-IT"/>
        </w:rPr>
      </w:pPr>
      <w:r w:rsidRPr="00491F79">
        <w:rPr>
          <w:rFonts w:ascii="Palatino Linotype" w:eastAsia="Times New Roman" w:hAnsi="Palatino Linotype" w:cs="Arial"/>
          <w:b/>
          <w:color w:val="000000"/>
          <w:sz w:val="22"/>
          <w:lang w:val="it-IT" w:eastAsia="it-IT"/>
        </w:rPr>
        <w:t>29 giugno 2023</w:t>
      </w:r>
    </w:p>
    <w:p w14:paraId="02CA32D9" w14:textId="40A41004" w:rsidR="00017F90" w:rsidRPr="00491F79" w:rsidRDefault="00017F90" w:rsidP="00017F90">
      <w:pPr>
        <w:jc w:val="center"/>
        <w:rPr>
          <w:rFonts w:ascii="Palatino Linotype" w:eastAsia="Times New Roman" w:hAnsi="Palatino Linotype" w:cs="Arial"/>
          <w:b/>
          <w:color w:val="000000"/>
          <w:sz w:val="22"/>
          <w:lang w:val="it-IT" w:eastAsia="it-IT"/>
        </w:rPr>
      </w:pPr>
    </w:p>
    <w:p w14:paraId="75EEA8F7" w14:textId="77777777" w:rsidR="002E674F" w:rsidRPr="00491F79" w:rsidRDefault="002E674F" w:rsidP="002E674F">
      <w:pPr>
        <w:pStyle w:val="Default"/>
        <w:jc w:val="both"/>
        <w:rPr>
          <w:rFonts w:ascii="Palatino Linotype" w:hAnsi="Palatino Linotype"/>
          <w:b/>
          <w:sz w:val="22"/>
          <w:lang w:val="it-IT"/>
        </w:rPr>
      </w:pPr>
    </w:p>
    <w:p w14:paraId="5FD50E7B" w14:textId="77777777" w:rsidR="002E674F" w:rsidRPr="00491F79" w:rsidRDefault="002E674F" w:rsidP="002E674F">
      <w:pPr>
        <w:pStyle w:val="Default"/>
        <w:jc w:val="both"/>
        <w:rPr>
          <w:rFonts w:ascii="Palatino Linotype" w:hAnsi="Palatino Linotype"/>
          <w:b/>
          <w:sz w:val="22"/>
          <w:lang w:val="it-IT"/>
        </w:rPr>
      </w:pPr>
    </w:p>
    <w:p w14:paraId="0B995D2D" w14:textId="77777777" w:rsidR="002E674F" w:rsidRPr="003157E6" w:rsidRDefault="002E674F" w:rsidP="002E674F">
      <w:pPr>
        <w:pStyle w:val="Default"/>
        <w:jc w:val="both"/>
        <w:rPr>
          <w:rFonts w:ascii="Palatino Linotype" w:hAnsi="Palatino Linotype"/>
          <w:sz w:val="22"/>
        </w:rPr>
      </w:pPr>
      <w:r w:rsidRPr="003157E6">
        <w:rPr>
          <w:rFonts w:ascii="Palatino Linotype" w:hAnsi="Palatino Linotype"/>
          <w:sz w:val="22"/>
        </w:rPr>
        <w:t>OSCE participating States have made a number of commitments in the area of Freedom of Religion or Belief (</w:t>
      </w:r>
      <w:proofErr w:type="spellStart"/>
      <w:r w:rsidRPr="003157E6">
        <w:rPr>
          <w:rFonts w:ascii="Palatino Linotype" w:hAnsi="Palatino Linotype"/>
          <w:sz w:val="22"/>
        </w:rPr>
        <w:t>FoRB</w:t>
      </w:r>
      <w:proofErr w:type="spellEnd"/>
      <w:r w:rsidRPr="003157E6">
        <w:rPr>
          <w:rFonts w:ascii="Palatino Linotype" w:hAnsi="Palatino Linotype"/>
          <w:sz w:val="22"/>
        </w:rPr>
        <w:t xml:space="preserve">), from those enshrined in the Helsinki Final Act of 1975, to those affirmed by OSCE participating States in Vienna 1989, Copenhagen 1990, Istanbul 1999, Bucharest 2001, Maastricht 2003, Helsinki 2008, Astana 2010 and Kyiv 2013. Additionally, participating States have made several commitments in the area of interreligious, interfaith and intercultural dialogue including Porto 2002 and Kyiv 2013. </w:t>
      </w:r>
    </w:p>
    <w:p w14:paraId="15984EAF" w14:textId="77777777" w:rsidR="002E674F" w:rsidRPr="003157E6" w:rsidRDefault="002E674F" w:rsidP="002E674F">
      <w:pPr>
        <w:pStyle w:val="Default"/>
        <w:jc w:val="both"/>
        <w:rPr>
          <w:rFonts w:ascii="Palatino Linotype" w:hAnsi="Palatino Linotype"/>
          <w:sz w:val="22"/>
        </w:rPr>
      </w:pPr>
      <w:r w:rsidRPr="003157E6">
        <w:rPr>
          <w:rFonts w:ascii="Palatino Linotype" w:hAnsi="Palatino Linotype"/>
          <w:sz w:val="22"/>
        </w:rPr>
        <w:t xml:space="preserve">The ODIHR’s </w:t>
      </w:r>
      <w:proofErr w:type="spellStart"/>
      <w:r w:rsidRPr="003157E6">
        <w:rPr>
          <w:rFonts w:ascii="Palatino Linotype" w:hAnsi="Palatino Linotype"/>
          <w:sz w:val="22"/>
        </w:rPr>
        <w:t>FoRB</w:t>
      </w:r>
      <w:proofErr w:type="spellEnd"/>
      <w:r w:rsidRPr="003157E6">
        <w:rPr>
          <w:rFonts w:ascii="Palatino Linotype" w:hAnsi="Palatino Linotype"/>
          <w:sz w:val="22"/>
        </w:rPr>
        <w:t xml:space="preserve"> is developing a publication that will, among others, include recommendations for OSCE participating States and other relevant stakeholders on the importance of inter-religious and inter-faith dialogue and partnerships for strengthening of freedom of religion or belief for all. </w:t>
      </w:r>
    </w:p>
    <w:p w14:paraId="0F0F400E" w14:textId="77777777" w:rsidR="002E674F" w:rsidRPr="003157E6" w:rsidRDefault="002E674F" w:rsidP="002E674F">
      <w:pPr>
        <w:jc w:val="both"/>
        <w:rPr>
          <w:rFonts w:ascii="Palatino Linotype" w:hAnsi="Palatino Linotype"/>
          <w:sz w:val="22"/>
        </w:rPr>
      </w:pPr>
      <w:r w:rsidRPr="003157E6">
        <w:rPr>
          <w:rFonts w:ascii="Palatino Linotype" w:hAnsi="Palatino Linotype"/>
          <w:sz w:val="22"/>
          <w:lang w:val="en-GB"/>
        </w:rPr>
        <w:t xml:space="preserve">As a next step in the process of the finalization of the toolkit, ODIHR in partnership with the University of Foggia is planning to host an in-person consultation at the premises of the University of Foggia, in Italy, </w:t>
      </w:r>
      <w:bookmarkStart w:id="0" w:name="_GoBack"/>
      <w:bookmarkEnd w:id="0"/>
      <w:r w:rsidRPr="003157E6">
        <w:rPr>
          <w:rFonts w:ascii="Palatino Linotype" w:hAnsi="Palatino Linotype"/>
          <w:sz w:val="22"/>
          <w:lang w:val="en-GB"/>
        </w:rPr>
        <w:t>on the 29</w:t>
      </w:r>
      <w:r w:rsidRPr="003157E6">
        <w:rPr>
          <w:rFonts w:ascii="Palatino Linotype" w:hAnsi="Palatino Linotype"/>
          <w:sz w:val="22"/>
          <w:vertAlign w:val="superscript"/>
          <w:lang w:val="en-GB"/>
        </w:rPr>
        <w:t>th</w:t>
      </w:r>
      <w:r w:rsidRPr="003157E6">
        <w:rPr>
          <w:rFonts w:ascii="Palatino Linotype" w:hAnsi="Palatino Linotype"/>
          <w:sz w:val="22"/>
          <w:lang w:val="en-GB"/>
        </w:rPr>
        <w:t xml:space="preserve"> of June 2023. The purpose of the meeting is to undertake a final review of the draft toolkit on Freedom of Religion or Belief and interreligious dialogue and partnership, and facilitate a platform for discussion and exchange on any outstanding issues based on the written feedback received of a selected group of experts, involving as well ODIHR representatives. </w:t>
      </w:r>
      <w:r w:rsidRPr="003157E6">
        <w:rPr>
          <w:rFonts w:ascii="Palatino Linotype" w:hAnsi="Palatino Linotype"/>
          <w:sz w:val="22"/>
        </w:rPr>
        <w:t xml:space="preserve">The invitees are, by their background, primarily academics and experts on </w:t>
      </w:r>
      <w:proofErr w:type="spellStart"/>
      <w:r w:rsidRPr="003157E6">
        <w:rPr>
          <w:rFonts w:ascii="Palatino Linotype" w:hAnsi="Palatino Linotype"/>
          <w:sz w:val="22"/>
        </w:rPr>
        <w:t>FoRB</w:t>
      </w:r>
      <w:proofErr w:type="spellEnd"/>
      <w:r w:rsidRPr="003157E6">
        <w:rPr>
          <w:rFonts w:ascii="Palatino Linotype" w:hAnsi="Palatino Linotype"/>
          <w:sz w:val="22"/>
        </w:rPr>
        <w:t xml:space="preserve"> or inter-religious and inter-faith dialogue and partnerships and do not necessarily represent any religious or belief groups</w:t>
      </w:r>
      <w:r w:rsidR="00B37773" w:rsidRPr="003157E6">
        <w:rPr>
          <w:rFonts w:ascii="Palatino Linotype" w:hAnsi="Palatino Linotype"/>
          <w:sz w:val="22"/>
        </w:rPr>
        <w:t>.</w:t>
      </w:r>
    </w:p>
    <w:p w14:paraId="57192091" w14:textId="77777777" w:rsidR="00CB4B90" w:rsidRPr="003157E6" w:rsidRDefault="00CB4B90" w:rsidP="00CB4B90">
      <w:pPr>
        <w:jc w:val="both"/>
        <w:rPr>
          <w:rFonts w:ascii="Palatino Linotype" w:eastAsia="Times New Roman" w:hAnsi="Palatino Linotype" w:cs="Arial"/>
          <w:color w:val="000000"/>
          <w:sz w:val="22"/>
          <w:lang w:eastAsia="it-IT"/>
        </w:rPr>
      </w:pPr>
      <w:r w:rsidRPr="003157E6">
        <w:rPr>
          <w:rFonts w:ascii="Palatino Linotype" w:hAnsi="Palatino Linotype"/>
          <w:sz w:val="22"/>
        </w:rPr>
        <w:t xml:space="preserve">The </w:t>
      </w:r>
      <w:r w:rsidRPr="003157E6">
        <w:rPr>
          <w:rFonts w:ascii="Palatino Linotype" w:eastAsia="Times New Roman" w:hAnsi="Palatino Linotype" w:cs="Arial"/>
          <w:color w:val="000000"/>
          <w:sz w:val="22"/>
          <w:lang w:eastAsia="it-IT"/>
        </w:rPr>
        <w:t xml:space="preserve">Consultation of the Draft Toolkit on </w:t>
      </w:r>
      <w:proofErr w:type="spellStart"/>
      <w:r w:rsidRPr="003157E6">
        <w:rPr>
          <w:rFonts w:ascii="Palatino Linotype" w:eastAsia="Times New Roman" w:hAnsi="Palatino Linotype" w:cs="Arial"/>
          <w:color w:val="000000"/>
          <w:sz w:val="22"/>
          <w:lang w:eastAsia="it-IT"/>
        </w:rPr>
        <w:t>FoRB</w:t>
      </w:r>
      <w:proofErr w:type="spellEnd"/>
      <w:r w:rsidRPr="003157E6">
        <w:rPr>
          <w:rFonts w:ascii="Palatino Linotype" w:eastAsia="Times New Roman" w:hAnsi="Palatino Linotype" w:cs="Arial"/>
          <w:color w:val="000000"/>
          <w:sz w:val="22"/>
          <w:lang w:eastAsia="it-IT"/>
        </w:rPr>
        <w:t xml:space="preserve"> and Interreligious and Interfaith Dialogue and Partnership (IIDP) concludes the activities of Religion and Comprehensive Project (</w:t>
      </w:r>
      <w:proofErr w:type="spellStart"/>
      <w:r w:rsidRPr="003157E6">
        <w:rPr>
          <w:rFonts w:ascii="Palatino Linotype" w:eastAsia="Times New Roman" w:hAnsi="Palatino Linotype" w:cs="Arial"/>
          <w:color w:val="000000"/>
          <w:sz w:val="22"/>
          <w:lang w:eastAsia="it-IT"/>
        </w:rPr>
        <w:t>Re.Co.Se</w:t>
      </w:r>
      <w:proofErr w:type="spellEnd"/>
      <w:r w:rsidRPr="003157E6">
        <w:rPr>
          <w:rFonts w:ascii="Palatino Linotype" w:eastAsia="Times New Roman" w:hAnsi="Palatino Linotype" w:cs="Arial"/>
          <w:color w:val="000000"/>
          <w:sz w:val="22"/>
          <w:lang w:eastAsia="it-IT"/>
        </w:rPr>
        <w:t>.) which will host in Foggia - 27</w:t>
      </w:r>
      <w:r w:rsidRPr="003157E6">
        <w:rPr>
          <w:rFonts w:ascii="Palatino Linotype" w:eastAsia="Times New Roman" w:hAnsi="Palatino Linotype" w:cs="Arial"/>
          <w:color w:val="000000"/>
          <w:sz w:val="22"/>
          <w:vertAlign w:val="superscript"/>
          <w:lang w:eastAsia="it-IT"/>
        </w:rPr>
        <w:t>th</w:t>
      </w:r>
      <w:r w:rsidRPr="003157E6">
        <w:rPr>
          <w:rFonts w:ascii="Palatino Linotype" w:eastAsia="Times New Roman" w:hAnsi="Palatino Linotype" w:cs="Arial"/>
          <w:color w:val="000000"/>
          <w:sz w:val="22"/>
          <w:lang w:eastAsia="it-IT"/>
        </w:rPr>
        <w:t>-28</w:t>
      </w:r>
      <w:r w:rsidRPr="003157E6">
        <w:rPr>
          <w:rFonts w:ascii="Palatino Linotype" w:eastAsia="Times New Roman" w:hAnsi="Palatino Linotype" w:cs="Arial"/>
          <w:color w:val="000000"/>
          <w:sz w:val="22"/>
          <w:vertAlign w:val="superscript"/>
          <w:lang w:eastAsia="it-IT"/>
        </w:rPr>
        <w:t>th</w:t>
      </w:r>
      <w:r w:rsidRPr="003157E6">
        <w:rPr>
          <w:rFonts w:ascii="Palatino Linotype" w:eastAsia="Times New Roman" w:hAnsi="Palatino Linotype" w:cs="Arial"/>
          <w:color w:val="000000"/>
          <w:sz w:val="22"/>
          <w:lang w:eastAsia="it-IT"/>
        </w:rPr>
        <w:t xml:space="preserve"> June - many national and international experts on </w:t>
      </w:r>
      <w:proofErr w:type="spellStart"/>
      <w:r w:rsidRPr="003157E6">
        <w:rPr>
          <w:rFonts w:ascii="Palatino Linotype" w:eastAsia="Times New Roman" w:hAnsi="Palatino Linotype" w:cs="Arial"/>
          <w:color w:val="000000"/>
          <w:sz w:val="22"/>
          <w:lang w:eastAsia="it-IT"/>
        </w:rPr>
        <w:t>FoRB</w:t>
      </w:r>
      <w:proofErr w:type="spellEnd"/>
      <w:r w:rsidRPr="003157E6">
        <w:rPr>
          <w:rFonts w:ascii="Palatino Linotype" w:eastAsia="Times New Roman" w:hAnsi="Palatino Linotype" w:cs="Arial"/>
          <w:color w:val="000000"/>
          <w:sz w:val="22"/>
          <w:lang w:eastAsia="it-IT"/>
        </w:rPr>
        <w:t xml:space="preserve"> and Security Law. </w:t>
      </w:r>
    </w:p>
    <w:p w14:paraId="7A033F73" w14:textId="6900BBDF" w:rsidR="00CF29BD" w:rsidRPr="003157E6" w:rsidRDefault="00CF29BD" w:rsidP="00CF29BD">
      <w:pPr>
        <w:jc w:val="both"/>
        <w:rPr>
          <w:rFonts w:ascii="Palatino Linotype" w:eastAsia="Times New Roman" w:hAnsi="Palatino Linotype"/>
          <w:sz w:val="22"/>
          <w:lang w:eastAsia="it-IT"/>
        </w:rPr>
      </w:pPr>
      <w:r w:rsidRPr="003157E6">
        <w:rPr>
          <w:rFonts w:ascii="Palatino Linotype" w:eastAsia="Times New Roman" w:hAnsi="Palatino Linotype" w:cs="Arial"/>
          <w:color w:val="222222"/>
          <w:sz w:val="22"/>
          <w:shd w:val="clear" w:color="auto" w:fill="FFFFFF"/>
          <w:lang w:eastAsia="it-IT"/>
        </w:rPr>
        <w:t xml:space="preserve">The School of Law of University of Foggia has been working for many years in the field with significant </w:t>
      </w:r>
      <w:r w:rsidR="00370005" w:rsidRPr="003157E6">
        <w:rPr>
          <w:rFonts w:ascii="Palatino Linotype" w:eastAsia="Times New Roman" w:hAnsi="Palatino Linotype" w:cs="Arial"/>
          <w:color w:val="222222"/>
          <w:sz w:val="22"/>
          <w:shd w:val="clear" w:color="auto" w:fill="FFFFFF"/>
          <w:lang w:eastAsia="it-IT"/>
        </w:rPr>
        <w:t xml:space="preserve">scientific results </w:t>
      </w:r>
      <w:r w:rsidRPr="003157E6">
        <w:rPr>
          <w:rFonts w:ascii="Palatino Linotype" w:eastAsia="Times New Roman" w:hAnsi="Palatino Linotype" w:cs="Arial"/>
          <w:color w:val="222222"/>
          <w:sz w:val="22"/>
          <w:shd w:val="clear" w:color="auto" w:fill="FFFFFF"/>
          <w:lang w:eastAsia="it-IT"/>
        </w:rPr>
        <w:t>at national and international level.</w:t>
      </w:r>
    </w:p>
    <w:p w14:paraId="69A62ABE" w14:textId="77777777" w:rsidR="00CB4B90" w:rsidRPr="00491F79" w:rsidRDefault="00CB4B90" w:rsidP="002E674F">
      <w:pPr>
        <w:jc w:val="both"/>
        <w:rPr>
          <w:rFonts w:ascii="Palatino Linotype" w:hAnsi="Palatino Linotype"/>
          <w:b/>
          <w:sz w:val="22"/>
        </w:rPr>
      </w:pPr>
    </w:p>
    <w:p w14:paraId="26C2A08E" w14:textId="77777777" w:rsidR="00761F9B" w:rsidRPr="00491F79" w:rsidRDefault="00761F9B">
      <w:pPr>
        <w:rPr>
          <w:rFonts w:ascii="Palatino Linotype" w:hAnsi="Palatino Linotype"/>
          <w:b/>
          <w:sz w:val="22"/>
          <w:lang w:val="en-GB"/>
        </w:rPr>
      </w:pPr>
    </w:p>
    <w:sectPr w:rsidR="00761F9B" w:rsidRPr="00491F79" w:rsidSect="00B37773">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FB"/>
    <w:rsid w:val="00017F90"/>
    <w:rsid w:val="002064C1"/>
    <w:rsid w:val="002A27DE"/>
    <w:rsid w:val="002E674F"/>
    <w:rsid w:val="003157E6"/>
    <w:rsid w:val="00370005"/>
    <w:rsid w:val="00407198"/>
    <w:rsid w:val="004400A1"/>
    <w:rsid w:val="00491F79"/>
    <w:rsid w:val="00535B5F"/>
    <w:rsid w:val="00663A5A"/>
    <w:rsid w:val="00761F9B"/>
    <w:rsid w:val="007D267B"/>
    <w:rsid w:val="00A34E4D"/>
    <w:rsid w:val="00AF4DFB"/>
    <w:rsid w:val="00B37773"/>
    <w:rsid w:val="00CB4B90"/>
    <w:rsid w:val="00CF29BD"/>
    <w:rsid w:val="00D0632D"/>
    <w:rsid w:val="00E03061"/>
    <w:rsid w:val="00E43320"/>
    <w:rsid w:val="00EA03CF"/>
    <w:rsid w:val="00FB3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4E1E57"/>
  <w14:defaultImageDpi w14:val="32767"/>
  <w15:chartTrackingRefBased/>
  <w15:docId w15:val="{507D29C2-6AD9-8246-BB8C-041DA445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E674F"/>
    <w:rPr>
      <w:rFonts w:ascii="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674F"/>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2023-06-05T12:33:00Z</dcterms:created>
  <dcterms:modified xsi:type="dcterms:W3CDTF">2023-06-06T16:46:00Z</dcterms:modified>
</cp:coreProperties>
</file>